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AC5" w:rsidRPr="00D42259" w:rsidRDefault="00D64AC5" w:rsidP="00CC0D17">
      <w:pPr>
        <w:spacing w:line="240" w:lineRule="auto"/>
        <w:rPr>
          <w:color w:val="000000" w:themeColor="text1"/>
        </w:rPr>
      </w:pPr>
    </w:p>
    <w:p w:rsidR="00D42259" w:rsidRPr="00D42259" w:rsidRDefault="00D42259" w:rsidP="00CC0D17">
      <w:pPr>
        <w:spacing w:line="240" w:lineRule="auto"/>
        <w:jc w:val="center"/>
        <w:rPr>
          <w:color w:val="000000" w:themeColor="text1"/>
        </w:rPr>
      </w:pPr>
      <w:r w:rsidRPr="00D42259">
        <w:rPr>
          <w:color w:val="000000" w:themeColor="text1"/>
        </w:rPr>
        <w:t>R-Project Nebraska - Law Suit</w:t>
      </w:r>
    </w:p>
    <w:p w:rsidR="00D42259" w:rsidRPr="00D42259" w:rsidRDefault="00D42259" w:rsidP="00CC0D17">
      <w:pPr>
        <w:spacing w:line="240" w:lineRule="auto"/>
        <w:jc w:val="center"/>
        <w:rPr>
          <w:color w:val="000000" w:themeColor="text1"/>
        </w:rPr>
      </w:pPr>
      <w:r w:rsidRPr="00D42259">
        <w:rPr>
          <w:color w:val="000000" w:themeColor="text1"/>
        </w:rPr>
        <w:t>July 2020</w:t>
      </w:r>
    </w:p>
    <w:p w:rsidR="00D42259" w:rsidRPr="00D42259" w:rsidRDefault="00D42259" w:rsidP="00CC0D17">
      <w:pPr>
        <w:spacing w:line="240" w:lineRule="auto"/>
        <w:rPr>
          <w:color w:val="000000" w:themeColor="text1"/>
        </w:rPr>
      </w:pPr>
    </w:p>
    <w:p w:rsidR="00D42259" w:rsidRPr="00CC0D17" w:rsidRDefault="00D42259" w:rsidP="00CC0D17">
      <w:pPr>
        <w:spacing w:line="240" w:lineRule="auto"/>
        <w:rPr>
          <w:color w:val="000000" w:themeColor="text1"/>
          <w:sz w:val="18"/>
          <w:szCs w:val="18"/>
        </w:rPr>
      </w:pPr>
      <w:r w:rsidRPr="00CC0D17">
        <w:rPr>
          <w:color w:val="000000" w:themeColor="text1"/>
          <w:sz w:val="18"/>
          <w:szCs w:val="18"/>
        </w:rPr>
        <w:t>From the web on July 23, 2020 (</w:t>
      </w:r>
      <w:proofErr w:type="spellStart"/>
      <w:r w:rsidRPr="00CC0D17">
        <w:rPr>
          <w:color w:val="000000" w:themeColor="text1"/>
          <w:sz w:val="18"/>
          <w:szCs w:val="18"/>
        </w:rPr>
        <w:t>Nossaman</w:t>
      </w:r>
      <w:proofErr w:type="spellEnd"/>
      <w:r w:rsidRPr="00CC0D17">
        <w:rPr>
          <w:color w:val="000000" w:themeColor="text1"/>
          <w:sz w:val="18"/>
          <w:szCs w:val="18"/>
        </w:rPr>
        <w:t xml:space="preserve"> LLP Blog): https://www.endangeredspecieslawandpolicy.com/transmission-line-permit-invalidated-usfws-ordered-to</w:t>
      </w:r>
    </w:p>
    <w:p w:rsidR="00D42259" w:rsidRPr="00D42259" w:rsidRDefault="00D42259" w:rsidP="00CC0D17">
      <w:pPr>
        <w:spacing w:line="240" w:lineRule="auto"/>
        <w:rPr>
          <w:color w:val="000000" w:themeColor="text1"/>
        </w:rPr>
      </w:pPr>
    </w:p>
    <w:p w:rsidR="00D42259" w:rsidRDefault="00D42259" w:rsidP="00CC0D17">
      <w:pPr>
        <w:shd w:val="clear" w:color="auto" w:fill="FFFFFF"/>
        <w:spacing w:line="240" w:lineRule="auto"/>
        <w:jc w:val="center"/>
        <w:rPr>
          <w:rFonts w:eastAsia="Times New Roman"/>
          <w:b/>
          <w:color w:val="000000" w:themeColor="text1"/>
          <w:sz w:val="24"/>
          <w:szCs w:val="24"/>
        </w:rPr>
      </w:pPr>
      <w:r w:rsidRPr="00D42259">
        <w:rPr>
          <w:rFonts w:eastAsia="Times New Roman"/>
          <w:b/>
          <w:color w:val="000000" w:themeColor="text1"/>
          <w:sz w:val="24"/>
          <w:szCs w:val="24"/>
        </w:rPr>
        <w:t xml:space="preserve">Transmission Line Permit Invalidated, USFWS Ordered to </w:t>
      </w:r>
    </w:p>
    <w:p w:rsidR="00D42259" w:rsidRPr="00D42259" w:rsidRDefault="00D42259" w:rsidP="00CC0D17">
      <w:pPr>
        <w:shd w:val="clear" w:color="auto" w:fill="FFFFFF"/>
        <w:spacing w:line="240" w:lineRule="auto"/>
        <w:jc w:val="center"/>
        <w:rPr>
          <w:rFonts w:eastAsia="Times New Roman"/>
          <w:b/>
          <w:color w:val="000000" w:themeColor="text1"/>
          <w:sz w:val="24"/>
          <w:szCs w:val="24"/>
        </w:rPr>
      </w:pPr>
      <w:r w:rsidRPr="00D42259">
        <w:rPr>
          <w:rFonts w:eastAsia="Times New Roman"/>
          <w:b/>
          <w:color w:val="000000" w:themeColor="text1"/>
          <w:sz w:val="24"/>
          <w:szCs w:val="24"/>
        </w:rPr>
        <w:t>Redo Endangered Species Act Analyses</w:t>
      </w:r>
    </w:p>
    <w:p w:rsidR="00D42259" w:rsidRPr="00D42259" w:rsidRDefault="00D42259" w:rsidP="00CC0D17">
      <w:pPr>
        <w:shd w:val="clear" w:color="auto" w:fill="FFFFFF"/>
        <w:spacing w:line="240" w:lineRule="auto"/>
        <w:rPr>
          <w:rFonts w:eastAsia="Times New Roman"/>
          <w:color w:val="000000" w:themeColor="text1"/>
        </w:rPr>
      </w:pPr>
    </w:p>
    <w:p w:rsidR="00D42259" w:rsidRPr="00D42259" w:rsidRDefault="00D42259" w:rsidP="00CC0D17">
      <w:pPr>
        <w:shd w:val="clear" w:color="auto" w:fill="FFFFFF"/>
        <w:spacing w:line="240" w:lineRule="auto"/>
        <w:rPr>
          <w:rFonts w:eastAsia="Times New Roman"/>
          <w:color w:val="000000" w:themeColor="text1"/>
        </w:rPr>
      </w:pPr>
      <w:r w:rsidRPr="00D42259">
        <w:rPr>
          <w:rFonts w:eastAsia="Times New Roman"/>
          <w:color w:val="000000" w:themeColor="text1"/>
        </w:rPr>
        <w:t>By </w:t>
      </w:r>
      <w:hyperlink r:id="rId5" w:history="1">
        <w:r w:rsidRPr="00D42259">
          <w:rPr>
            <w:rFonts w:eastAsia="Times New Roman"/>
            <w:color w:val="000000" w:themeColor="text1"/>
            <w:u w:val="single"/>
          </w:rPr>
          <w:t xml:space="preserve">Rebecca </w:t>
        </w:r>
        <w:proofErr w:type="spellStart"/>
        <w:r w:rsidRPr="00D42259">
          <w:rPr>
            <w:rFonts w:eastAsia="Times New Roman"/>
            <w:color w:val="000000" w:themeColor="text1"/>
            <w:u w:val="single"/>
          </w:rPr>
          <w:t>Barho</w:t>
        </w:r>
        <w:proofErr w:type="spellEnd"/>
      </w:hyperlink>
      <w:r w:rsidRPr="00D42259">
        <w:rPr>
          <w:rFonts w:eastAsia="Times New Roman"/>
          <w:color w:val="000000" w:themeColor="text1"/>
        </w:rPr>
        <w:t>, </w:t>
      </w:r>
      <w:hyperlink r:id="rId6" w:history="1">
        <w:r w:rsidRPr="00D42259">
          <w:rPr>
            <w:rFonts w:eastAsia="Times New Roman"/>
            <w:color w:val="000000" w:themeColor="text1"/>
            <w:u w:val="single"/>
          </w:rPr>
          <w:t>Brooke Wahlberg</w:t>
        </w:r>
      </w:hyperlink>
      <w:r w:rsidRPr="00D42259">
        <w:rPr>
          <w:rFonts w:eastAsia="Times New Roman"/>
          <w:color w:val="000000" w:themeColor="text1"/>
        </w:rPr>
        <w:t> on 07.09.2020</w:t>
      </w:r>
    </w:p>
    <w:p w:rsidR="00D42259" w:rsidRPr="00D42259" w:rsidRDefault="00D42259" w:rsidP="00CC0D17">
      <w:pPr>
        <w:shd w:val="clear" w:color="auto" w:fill="FFFFFF"/>
        <w:spacing w:line="240" w:lineRule="auto"/>
        <w:rPr>
          <w:rFonts w:eastAsia="Times New Roman"/>
          <w:caps/>
          <w:color w:val="000000" w:themeColor="text1"/>
        </w:rPr>
      </w:pPr>
      <w:r w:rsidRPr="00D42259">
        <w:rPr>
          <w:rFonts w:eastAsia="Times New Roman"/>
          <w:caps/>
          <w:color w:val="000000" w:themeColor="text1"/>
        </w:rPr>
        <w:t>POSTED IN </w:t>
      </w:r>
      <w:hyperlink r:id="rId7" w:history="1">
        <w:r w:rsidRPr="00D42259">
          <w:rPr>
            <w:rFonts w:eastAsia="Times New Roman"/>
            <w:caps/>
            <w:color w:val="000000" w:themeColor="text1"/>
            <w:u w:val="single"/>
          </w:rPr>
          <w:t>CONSTRUCTION PROJECTS</w:t>
        </w:r>
      </w:hyperlink>
      <w:r w:rsidRPr="00D42259">
        <w:rPr>
          <w:rFonts w:eastAsia="Times New Roman"/>
          <w:caps/>
          <w:color w:val="000000" w:themeColor="text1"/>
        </w:rPr>
        <w:t>, </w:t>
      </w:r>
      <w:hyperlink r:id="rId8" w:history="1">
        <w:r w:rsidRPr="00D42259">
          <w:rPr>
            <w:rFonts w:eastAsia="Times New Roman"/>
            <w:caps/>
            <w:color w:val="000000" w:themeColor="text1"/>
            <w:u w:val="single"/>
          </w:rPr>
          <w:t>FISH &amp; WILDLIFE SERVICE</w:t>
        </w:r>
      </w:hyperlink>
      <w:r w:rsidRPr="00D42259">
        <w:rPr>
          <w:rFonts w:eastAsia="Times New Roman"/>
          <w:caps/>
          <w:color w:val="000000" w:themeColor="text1"/>
        </w:rPr>
        <w:t>, </w:t>
      </w:r>
      <w:hyperlink r:id="rId9" w:history="1">
        <w:r w:rsidRPr="00D42259">
          <w:rPr>
            <w:rFonts w:eastAsia="Times New Roman"/>
            <w:caps/>
            <w:color w:val="000000" w:themeColor="text1"/>
            <w:u w:val="single"/>
          </w:rPr>
          <w:t>LEGAL</w:t>
        </w:r>
      </w:hyperlink>
      <w:r w:rsidRPr="00D42259">
        <w:rPr>
          <w:rFonts w:eastAsia="Times New Roman"/>
          <w:caps/>
          <w:color w:val="000000" w:themeColor="text1"/>
        </w:rPr>
        <w:t>, </w:t>
      </w:r>
      <w:hyperlink r:id="rId10" w:history="1">
        <w:r w:rsidRPr="00D42259">
          <w:rPr>
            <w:rFonts w:eastAsia="Times New Roman"/>
            <w:caps/>
            <w:color w:val="000000" w:themeColor="text1"/>
            <w:u w:val="single"/>
          </w:rPr>
          <w:t>NEPA</w:t>
        </w:r>
      </w:hyperlink>
    </w:p>
    <w:p w:rsidR="00D42259" w:rsidRPr="00D42259" w:rsidRDefault="00D42259" w:rsidP="00CC0D17">
      <w:pPr>
        <w:shd w:val="clear" w:color="auto" w:fill="FFFFFF"/>
        <w:spacing w:line="240" w:lineRule="auto"/>
        <w:rPr>
          <w:rFonts w:eastAsia="Times New Roman"/>
          <w:caps/>
          <w:color w:val="000000" w:themeColor="text1"/>
        </w:rPr>
      </w:pPr>
    </w:p>
    <w:p w:rsidR="00D42259" w:rsidRPr="00D42259" w:rsidRDefault="00D42259" w:rsidP="00CC0D17">
      <w:pPr>
        <w:shd w:val="clear" w:color="auto" w:fill="FFFFFF"/>
        <w:spacing w:line="240" w:lineRule="auto"/>
        <w:jc w:val="center"/>
        <w:rPr>
          <w:rFonts w:eastAsia="Times New Roman"/>
          <w:color w:val="000000" w:themeColor="text1"/>
        </w:rPr>
      </w:pPr>
      <w:r w:rsidRPr="00D42259">
        <w:rPr>
          <w:rFonts w:eastAsia="Times New Roman"/>
          <w:noProof/>
          <w:color w:val="000000" w:themeColor="text1"/>
        </w:rPr>
        <w:drawing>
          <wp:inline distT="0" distB="0" distL="0" distR="0" wp14:anchorId="3B75F31E" wp14:editId="0727B586">
            <wp:extent cx="4762500" cy="3276600"/>
            <wp:effectExtent l="19050" t="19050" r="19050" b="19050"/>
            <wp:docPr id="2" name="Picture 2" descr="Transmission Line Permit Invalidated, USFWS Ordered to Redo Endangered Species Act Analy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ansmission Line Permit Invalidated, USFWS Ordered to Redo Endangered Species Act Analys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3276600"/>
                    </a:xfrm>
                    <a:prstGeom prst="rect">
                      <a:avLst/>
                    </a:prstGeom>
                    <a:noFill/>
                    <a:ln>
                      <a:solidFill>
                        <a:schemeClr val="tx1"/>
                      </a:solidFill>
                    </a:ln>
                  </pic:spPr>
                </pic:pic>
              </a:graphicData>
            </a:graphic>
          </wp:inline>
        </w:drawing>
      </w:r>
    </w:p>
    <w:p w:rsidR="00D42259" w:rsidRPr="00D42259" w:rsidRDefault="00D42259" w:rsidP="00CC0D17">
      <w:pPr>
        <w:shd w:val="clear" w:color="auto" w:fill="FFFFFF"/>
        <w:spacing w:after="300" w:line="240" w:lineRule="auto"/>
        <w:rPr>
          <w:rFonts w:eastAsia="Times New Roman"/>
          <w:color w:val="000000" w:themeColor="text1"/>
        </w:rPr>
      </w:pPr>
    </w:p>
    <w:p w:rsidR="00D42259" w:rsidRPr="00D42259" w:rsidRDefault="00D42259" w:rsidP="00CC0D17">
      <w:pPr>
        <w:shd w:val="clear" w:color="auto" w:fill="FFFFFF"/>
        <w:spacing w:after="300" w:line="240" w:lineRule="auto"/>
        <w:rPr>
          <w:rFonts w:eastAsia="Times New Roman"/>
          <w:color w:val="000000" w:themeColor="text1"/>
        </w:rPr>
      </w:pPr>
      <w:r w:rsidRPr="00D42259">
        <w:rPr>
          <w:rFonts w:eastAsia="Times New Roman"/>
          <w:color w:val="000000" w:themeColor="text1"/>
        </w:rPr>
        <w:t xml:space="preserve">On June 17, 2020, a federal court in Colorado vacated an incidental take permit (ITP) issued to the Nebraska Public Power District (NPPD) authorizing take of the endangered American burying beetle (ABB) that could occur in connection with NPPD’s construction and operation of the 225-mile R-Project transmission line (R Project). The court vacated the ITP on the grounds that its issuance by the U.S. Fish and Wildlife Service (USFWS) violated the Endangered Species Act (ESA), National Environmental Policy Act (NEPA), </w:t>
      </w:r>
      <w:r w:rsidRPr="00D42259">
        <w:rPr>
          <w:rFonts w:eastAsia="Times New Roman"/>
          <w:color w:val="000000" w:themeColor="text1"/>
          <w:highlight w:val="cyan"/>
        </w:rPr>
        <w:t>and section 106 of the National Historic Preservation Act (NHPA).</w:t>
      </w:r>
      <w:r w:rsidRPr="00D42259">
        <w:rPr>
          <w:rFonts w:eastAsia="Times New Roman"/>
          <w:color w:val="000000" w:themeColor="text1"/>
        </w:rPr>
        <w:t xml:space="preserve"> The ruling may have important implications for linear and other projects seeking ESA authorization. </w:t>
      </w:r>
      <w:r w:rsidRPr="00D42259">
        <w:rPr>
          <w:rFonts w:eastAsia="Times New Roman"/>
          <w:i/>
          <w:iCs/>
          <w:color w:val="000000" w:themeColor="text1"/>
        </w:rPr>
        <w:t>Oregon-California Trails Association v. Walsh</w:t>
      </w:r>
      <w:r w:rsidRPr="00D42259">
        <w:rPr>
          <w:rFonts w:eastAsia="Times New Roman"/>
          <w:color w:val="000000" w:themeColor="text1"/>
        </w:rPr>
        <w:t>, Case No. 1:19-cv-01945-WJM (D. Colo.).</w:t>
      </w:r>
    </w:p>
    <w:p w:rsidR="00D42259" w:rsidRPr="00D42259" w:rsidRDefault="00D42259" w:rsidP="00CC0D17">
      <w:pPr>
        <w:shd w:val="clear" w:color="auto" w:fill="FFFFFF"/>
        <w:spacing w:before="120" w:after="300" w:line="240" w:lineRule="auto"/>
        <w:rPr>
          <w:rFonts w:eastAsia="Times New Roman"/>
          <w:color w:val="000000" w:themeColor="text1"/>
        </w:rPr>
      </w:pPr>
      <w:r w:rsidRPr="00D42259">
        <w:rPr>
          <w:rFonts w:eastAsia="Times New Roman"/>
          <w:i/>
          <w:iCs/>
          <w:color w:val="000000" w:themeColor="text1"/>
        </w:rPr>
        <w:t>Background</w:t>
      </w:r>
    </w:p>
    <w:p w:rsidR="00D42259" w:rsidRPr="00D42259" w:rsidRDefault="00D42259" w:rsidP="00CC0D17">
      <w:pPr>
        <w:shd w:val="clear" w:color="auto" w:fill="FFFFFF"/>
        <w:spacing w:before="120" w:after="300" w:line="240" w:lineRule="auto"/>
        <w:rPr>
          <w:rFonts w:eastAsia="Times New Roman"/>
          <w:color w:val="000000" w:themeColor="text1"/>
        </w:rPr>
      </w:pPr>
      <w:r w:rsidRPr="00D42259">
        <w:rPr>
          <w:rFonts w:eastAsia="Times New Roman"/>
          <w:color w:val="000000" w:themeColor="text1"/>
        </w:rPr>
        <w:t xml:space="preserve">The R-Project would traverse the Sandhills of Nebraska, an area many environmental groups value for its native mixed-grass prairie, sand dunes, and bird-watching. USFWS issued an ITP to NPPD in 2019 and, in order to comply with NEPA, completed an environmental impact statement (EIS) and issued a record of decision (ROD). Issuance of the ITP was the culmination of a multi-year negotiation between NPPD and USFWS, including significant discussions between the parties as to whether the </w:t>
      </w:r>
      <w:r w:rsidRPr="00D42259">
        <w:rPr>
          <w:rFonts w:eastAsia="Times New Roman"/>
          <w:color w:val="000000" w:themeColor="text1"/>
        </w:rPr>
        <w:lastRenderedPageBreak/>
        <w:t>ITP should cover potential take of endangered whooping cranes that could occur as a result of the R Project. The ultimate ITP only authorized take of the ABB.</w:t>
      </w:r>
    </w:p>
    <w:p w:rsidR="00D42259" w:rsidRPr="00D42259" w:rsidRDefault="00D42259" w:rsidP="00CC0D17">
      <w:pPr>
        <w:shd w:val="clear" w:color="auto" w:fill="FFFFFF"/>
        <w:spacing w:before="120" w:after="300" w:line="240" w:lineRule="auto"/>
        <w:rPr>
          <w:rFonts w:eastAsia="Times New Roman"/>
          <w:color w:val="000000" w:themeColor="text1"/>
        </w:rPr>
      </w:pPr>
      <w:r w:rsidRPr="00D42259">
        <w:rPr>
          <w:rFonts w:eastAsia="Times New Roman"/>
          <w:color w:val="000000" w:themeColor="text1"/>
        </w:rPr>
        <w:t xml:space="preserve">A group of plaintiffs challenged the ITP in the federal district court for the district of Colorado. The plaintiffs’ claims were primarily focused on the potential for whooping cranes to collide with R Project lines and the failure of USFWS and NPPD to include the species in the ITP. Plaintiffs also raised alleged procedural deficiencies under the ESA, NEPA, </w:t>
      </w:r>
      <w:r w:rsidRPr="00D42259">
        <w:rPr>
          <w:rFonts w:eastAsia="Times New Roman"/>
          <w:color w:val="000000" w:themeColor="text1"/>
          <w:highlight w:val="cyan"/>
        </w:rPr>
        <w:t>and NHPA</w:t>
      </w:r>
      <w:r w:rsidRPr="00D42259">
        <w:rPr>
          <w:rFonts w:eastAsia="Times New Roman"/>
          <w:color w:val="000000" w:themeColor="text1"/>
        </w:rPr>
        <w:t xml:space="preserve">, </w:t>
      </w:r>
      <w:r w:rsidRPr="00D42259">
        <w:rPr>
          <w:rFonts w:eastAsia="Times New Roman"/>
          <w:color w:val="000000" w:themeColor="text1"/>
          <w:highlight w:val="yellow"/>
        </w:rPr>
        <w:t>including claims related to non-NPPD wind energy projects expected to interconnect to the R Project</w:t>
      </w:r>
      <w:r w:rsidRPr="00D42259">
        <w:rPr>
          <w:rFonts w:eastAsia="Times New Roman"/>
          <w:color w:val="000000" w:themeColor="text1"/>
        </w:rPr>
        <w:t>.</w:t>
      </w:r>
    </w:p>
    <w:p w:rsidR="00D42259" w:rsidRPr="00D42259" w:rsidRDefault="00D42259" w:rsidP="00CC0D17">
      <w:pPr>
        <w:shd w:val="clear" w:color="auto" w:fill="FFFFFF"/>
        <w:spacing w:before="120" w:after="300" w:line="240" w:lineRule="auto"/>
        <w:rPr>
          <w:rFonts w:eastAsia="Times New Roman"/>
          <w:color w:val="000000" w:themeColor="text1"/>
        </w:rPr>
      </w:pPr>
      <w:r w:rsidRPr="00D42259">
        <w:rPr>
          <w:rFonts w:eastAsia="Times New Roman"/>
          <w:i/>
          <w:iCs/>
          <w:color w:val="000000" w:themeColor="text1"/>
        </w:rPr>
        <w:t>Court’s Decision</w:t>
      </w:r>
    </w:p>
    <w:p w:rsidR="00D42259" w:rsidRPr="00D42259" w:rsidRDefault="00D42259" w:rsidP="00CC0D17">
      <w:pPr>
        <w:shd w:val="clear" w:color="auto" w:fill="FFFFFF"/>
        <w:spacing w:before="120" w:after="300" w:line="240" w:lineRule="auto"/>
        <w:rPr>
          <w:rFonts w:eastAsia="Times New Roman"/>
          <w:color w:val="000000" w:themeColor="text1"/>
        </w:rPr>
      </w:pPr>
      <w:r w:rsidRPr="00D42259">
        <w:rPr>
          <w:rFonts w:eastAsia="Times New Roman"/>
          <w:color w:val="000000" w:themeColor="text1"/>
        </w:rPr>
        <w:t xml:space="preserve">Plaintiffs alleged that whooping cranes would be taken (by collision) as a result of NPPD’s construction and operation of the R Project and, thus, should have been included as a covered species in NPPD’s habitat conservation plan (HCP) and the ITP.  Plaintiffs went further and claimed that the USFWS should have included the potential wind energy facilities that may interconnect with the R Project as an indirect effect, rather than cumulative effect when the USFWS conducted its attendant ESA section 7 analysis. </w:t>
      </w:r>
      <w:r w:rsidRPr="00D42259">
        <w:rPr>
          <w:rFonts w:eastAsia="Times New Roman"/>
          <w:color w:val="000000" w:themeColor="text1"/>
          <w:highlight w:val="yellow"/>
        </w:rPr>
        <w:t>Plaintiffs also focused on whether the USFWS properly analyzed alternative routes. Finally, plaintiffs also alleged that the USFWS did not meet its obligations under the NHPA and in fact should have denied the ITP based on impacts to historic properties.</w:t>
      </w:r>
    </w:p>
    <w:p w:rsidR="00D42259" w:rsidRPr="00D42259" w:rsidRDefault="00D42259" w:rsidP="00CC0D17">
      <w:pPr>
        <w:shd w:val="clear" w:color="auto" w:fill="FFFFFF"/>
        <w:spacing w:before="120" w:after="300" w:line="240" w:lineRule="auto"/>
        <w:rPr>
          <w:rFonts w:eastAsia="Times New Roman"/>
          <w:color w:val="000000" w:themeColor="text1"/>
        </w:rPr>
      </w:pPr>
      <w:r w:rsidRPr="00D42259">
        <w:rPr>
          <w:rFonts w:eastAsia="Times New Roman"/>
          <w:color w:val="000000" w:themeColor="text1"/>
        </w:rPr>
        <w:t> In short, the court found:</w:t>
      </w:r>
    </w:p>
    <w:p w:rsidR="00D42259" w:rsidRPr="00D42259" w:rsidRDefault="00D42259" w:rsidP="00CC0D17">
      <w:pPr>
        <w:numPr>
          <w:ilvl w:val="0"/>
          <w:numId w:val="1"/>
        </w:numPr>
        <w:shd w:val="clear" w:color="auto" w:fill="FFFFFF"/>
        <w:spacing w:before="240" w:after="240" w:line="240" w:lineRule="auto"/>
        <w:ind w:left="360"/>
        <w:rPr>
          <w:rFonts w:eastAsia="Times New Roman"/>
          <w:color w:val="000000" w:themeColor="text1"/>
        </w:rPr>
      </w:pPr>
      <w:r w:rsidRPr="00D42259">
        <w:rPr>
          <w:rFonts w:eastAsia="Times New Roman"/>
          <w:color w:val="000000" w:themeColor="text1"/>
        </w:rPr>
        <w:t>Where the question of whether whooping cranes would collide with R Project lines presented an “epic” battle of the experts, USFWS was entitled to deference under the Administrative Procedure Act.</w:t>
      </w:r>
    </w:p>
    <w:p w:rsidR="00D42259" w:rsidRPr="00D42259" w:rsidRDefault="00D42259" w:rsidP="00CC0D17">
      <w:pPr>
        <w:numPr>
          <w:ilvl w:val="0"/>
          <w:numId w:val="1"/>
        </w:numPr>
        <w:shd w:val="clear" w:color="auto" w:fill="FFFFFF"/>
        <w:spacing w:before="240" w:after="240" w:line="240" w:lineRule="auto"/>
        <w:ind w:left="360"/>
        <w:rPr>
          <w:rFonts w:eastAsia="Times New Roman"/>
          <w:color w:val="000000" w:themeColor="text1"/>
        </w:rPr>
      </w:pPr>
      <w:r w:rsidRPr="00D42259">
        <w:rPr>
          <w:rFonts w:eastAsia="Times New Roman"/>
          <w:color w:val="000000" w:themeColor="text1"/>
        </w:rPr>
        <w:t>Wind energy projects would interconnect to the R Project should be analyzed as indirect, rather than cumulative, effects of the R Project, even though the wind projects would be built irrespective of R Project construction.</w:t>
      </w:r>
    </w:p>
    <w:p w:rsidR="00D42259" w:rsidRPr="00D42259" w:rsidRDefault="00D42259" w:rsidP="00CC0D17">
      <w:pPr>
        <w:numPr>
          <w:ilvl w:val="0"/>
          <w:numId w:val="1"/>
        </w:numPr>
        <w:shd w:val="clear" w:color="auto" w:fill="FFFFFF"/>
        <w:spacing w:before="240" w:after="240" w:line="240" w:lineRule="auto"/>
        <w:ind w:left="360"/>
        <w:rPr>
          <w:rFonts w:eastAsia="Times New Roman"/>
          <w:color w:val="000000" w:themeColor="text1"/>
        </w:rPr>
      </w:pPr>
      <w:r w:rsidRPr="00D42259">
        <w:rPr>
          <w:rFonts w:eastAsia="Times New Roman"/>
          <w:color w:val="000000" w:themeColor="text1"/>
        </w:rPr>
        <w:t>Where an HCP will fully offset impacts of take of the covered species, the HCP automatically meets the maximum extent practicable standard of ESA section 10, and additional analysis of alternative routes is not required since practicability need not be established.</w:t>
      </w:r>
    </w:p>
    <w:p w:rsidR="00D42259" w:rsidRPr="00D42259" w:rsidRDefault="00D42259" w:rsidP="00CC0D17">
      <w:pPr>
        <w:numPr>
          <w:ilvl w:val="0"/>
          <w:numId w:val="1"/>
        </w:numPr>
        <w:shd w:val="clear" w:color="auto" w:fill="FFFFFF"/>
        <w:spacing w:before="240" w:after="240" w:line="240" w:lineRule="auto"/>
        <w:ind w:left="360"/>
        <w:rPr>
          <w:rFonts w:eastAsia="Times New Roman"/>
          <w:color w:val="000000" w:themeColor="text1"/>
          <w:highlight w:val="cyan"/>
        </w:rPr>
      </w:pPr>
      <w:r w:rsidRPr="00D42259">
        <w:rPr>
          <w:rFonts w:eastAsia="Times New Roman"/>
          <w:color w:val="000000" w:themeColor="text1"/>
          <w:highlight w:val="cyan"/>
        </w:rPr>
        <w:t>Where the USFWS failed to address the impacts of a planned wind energy facility on historic resources, even where the USFWS had no jurisdiction over that facility, the USFWS did not meet its obligations under the NHPA. </w:t>
      </w:r>
    </w:p>
    <w:p w:rsidR="00D42259" w:rsidRPr="00D42259" w:rsidRDefault="00D42259" w:rsidP="00CC0D17">
      <w:pPr>
        <w:shd w:val="clear" w:color="auto" w:fill="FFFFFF"/>
        <w:spacing w:before="120" w:after="300" w:line="240" w:lineRule="auto"/>
        <w:rPr>
          <w:rFonts w:eastAsia="Times New Roman"/>
          <w:color w:val="000000" w:themeColor="text1"/>
        </w:rPr>
      </w:pPr>
      <w:r w:rsidRPr="00D42259">
        <w:rPr>
          <w:rFonts w:eastAsia="Times New Roman"/>
          <w:i/>
          <w:iCs/>
          <w:color w:val="000000" w:themeColor="text1"/>
        </w:rPr>
        <w:t>What should project proponents keep in mind?</w:t>
      </w:r>
    </w:p>
    <w:p w:rsidR="00D42259" w:rsidRPr="00D42259" w:rsidRDefault="00D42259" w:rsidP="00CC0D17">
      <w:pPr>
        <w:shd w:val="clear" w:color="auto" w:fill="FFFFFF"/>
        <w:spacing w:before="120" w:after="300" w:line="240" w:lineRule="auto"/>
        <w:rPr>
          <w:rFonts w:eastAsia="Times New Roman"/>
          <w:color w:val="000000" w:themeColor="text1"/>
        </w:rPr>
      </w:pPr>
      <w:r w:rsidRPr="00D42259">
        <w:rPr>
          <w:rFonts w:eastAsia="Times New Roman"/>
          <w:color w:val="000000" w:themeColor="text1"/>
        </w:rPr>
        <w:t xml:space="preserve">Some of the court’s holdings create somewhat unique precedent, including: (1) that where construction of an electric transmission line is not the sole cause of, but could make energy development “more probable,” such energy development should be treated as an indirect, rather than cumulative effect of the action under ESA section 7; and (2) </w:t>
      </w:r>
      <w:r w:rsidRPr="00D42259">
        <w:rPr>
          <w:rFonts w:eastAsia="Times New Roman"/>
          <w:color w:val="000000" w:themeColor="text1"/>
          <w:highlight w:val="cyan"/>
        </w:rPr>
        <w:t>where alternate routes exist for an electric transmission line that would have fewer impacts to historic resources protected under the NHPA, USFWS could potentially deny an ITP ostensibly on the basis that other routes may have fewer impacts.</w:t>
      </w:r>
      <w:bookmarkStart w:id="0" w:name="_GoBack"/>
      <w:bookmarkEnd w:id="0"/>
    </w:p>
    <w:p w:rsidR="00D42259" w:rsidRPr="00D42259" w:rsidRDefault="00D42259" w:rsidP="00CC0D17">
      <w:pPr>
        <w:shd w:val="clear" w:color="auto" w:fill="FFFFFF"/>
        <w:spacing w:before="120" w:after="300" w:line="240" w:lineRule="auto"/>
        <w:rPr>
          <w:rFonts w:eastAsia="Times New Roman"/>
          <w:color w:val="000000" w:themeColor="text1"/>
        </w:rPr>
      </w:pPr>
      <w:r w:rsidRPr="00D42259">
        <w:rPr>
          <w:rFonts w:eastAsia="Times New Roman"/>
          <w:color w:val="000000" w:themeColor="text1"/>
        </w:rPr>
        <w:t xml:space="preserve">As noted above, the ITP authorized take of the ABB. However, in 2019, USFWS proposed to </w:t>
      </w:r>
      <w:proofErr w:type="spellStart"/>
      <w:r w:rsidRPr="00D42259">
        <w:rPr>
          <w:rFonts w:eastAsia="Times New Roman"/>
          <w:color w:val="000000" w:themeColor="text1"/>
        </w:rPr>
        <w:t>downlist</w:t>
      </w:r>
      <w:proofErr w:type="spellEnd"/>
      <w:r w:rsidRPr="00D42259">
        <w:rPr>
          <w:rFonts w:eastAsia="Times New Roman"/>
          <w:color w:val="000000" w:themeColor="text1"/>
        </w:rPr>
        <w:t xml:space="preserve"> the species to threatened and issue an ESA section 4(d) rule that could change the compliance </w:t>
      </w:r>
      <w:r w:rsidRPr="00D42259">
        <w:rPr>
          <w:rFonts w:eastAsia="Times New Roman"/>
          <w:color w:val="000000" w:themeColor="text1"/>
        </w:rPr>
        <w:lastRenderedPageBreak/>
        <w:t xml:space="preserve">strategy for this and potentially other projects that could impact ABBs. A final rule </w:t>
      </w:r>
      <w:proofErr w:type="spellStart"/>
      <w:r w:rsidRPr="00D42259">
        <w:rPr>
          <w:rFonts w:eastAsia="Times New Roman"/>
          <w:color w:val="000000" w:themeColor="text1"/>
        </w:rPr>
        <w:t>downlisting</w:t>
      </w:r>
      <w:proofErr w:type="spellEnd"/>
      <w:r w:rsidRPr="00D42259">
        <w:rPr>
          <w:rFonts w:eastAsia="Times New Roman"/>
          <w:color w:val="000000" w:themeColor="text1"/>
        </w:rPr>
        <w:t xml:space="preserve"> the ABB could appear in the Federal Register any day now. Given the potential change in listing status for the species addressed by the ITP, it is unclear whether USFWS or NPPD will appeal the district court’s decision. In the meantime, project proponents are advised to work closely with USFWS to ensure that the agency adequately considers alternatives, indirect and cumulative effects, and historic resources, and to ensure that the agency maintains a robust administrative record in the event litigation should ensue.</w:t>
      </w:r>
    </w:p>
    <w:p w:rsidR="00D42259" w:rsidRPr="00D42259" w:rsidRDefault="00D42259" w:rsidP="00CC0D17">
      <w:pPr>
        <w:spacing w:line="240" w:lineRule="auto"/>
        <w:rPr>
          <w:color w:val="000000" w:themeColor="text1"/>
        </w:rPr>
      </w:pPr>
    </w:p>
    <w:sectPr w:rsidR="00D42259" w:rsidRPr="00D42259" w:rsidSect="00BB1A3A">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9A10E5"/>
    <w:multiLevelType w:val="multilevel"/>
    <w:tmpl w:val="A2064C7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259"/>
    <w:rsid w:val="00330389"/>
    <w:rsid w:val="00BB1A3A"/>
    <w:rsid w:val="00CC0D17"/>
    <w:rsid w:val="00D42259"/>
    <w:rsid w:val="00D64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DA09F"/>
  <w15:chartTrackingRefBased/>
  <w15:docId w15:val="{7E34AE18-77C3-4BCE-8FB5-DA0FC7C8A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ahoma"/>
        <w:sz w:val="22"/>
        <w:szCs w:val="22"/>
        <w:lang w:val="en-US"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742371">
      <w:bodyDiv w:val="1"/>
      <w:marLeft w:val="0"/>
      <w:marRight w:val="0"/>
      <w:marTop w:val="0"/>
      <w:marBottom w:val="0"/>
      <w:divBdr>
        <w:top w:val="none" w:sz="0" w:space="0" w:color="auto"/>
        <w:left w:val="none" w:sz="0" w:space="0" w:color="auto"/>
        <w:bottom w:val="none" w:sz="0" w:space="0" w:color="auto"/>
        <w:right w:val="none" w:sz="0" w:space="0" w:color="auto"/>
      </w:divBdr>
      <w:divsChild>
        <w:div w:id="1262687179">
          <w:marLeft w:val="0"/>
          <w:marRight w:val="0"/>
          <w:marTop w:val="0"/>
          <w:marBottom w:val="72"/>
          <w:divBdr>
            <w:top w:val="none" w:sz="0" w:space="0" w:color="auto"/>
            <w:left w:val="none" w:sz="0" w:space="0" w:color="auto"/>
            <w:bottom w:val="none" w:sz="0" w:space="0" w:color="auto"/>
            <w:right w:val="none" w:sz="0" w:space="0" w:color="auto"/>
          </w:divBdr>
        </w:div>
        <w:div w:id="1883712058">
          <w:marLeft w:val="0"/>
          <w:marRight w:val="0"/>
          <w:marTop w:val="0"/>
          <w:marBottom w:val="300"/>
          <w:divBdr>
            <w:top w:val="none" w:sz="0" w:space="0" w:color="auto"/>
            <w:left w:val="none" w:sz="0" w:space="0" w:color="auto"/>
            <w:bottom w:val="none" w:sz="0" w:space="0" w:color="auto"/>
            <w:right w:val="none" w:sz="0" w:space="0" w:color="auto"/>
          </w:divBdr>
        </w:div>
        <w:div w:id="2100637825">
          <w:marLeft w:val="0"/>
          <w:marRight w:val="0"/>
          <w:marTop w:val="0"/>
          <w:marBottom w:val="300"/>
          <w:divBdr>
            <w:top w:val="none" w:sz="0" w:space="0" w:color="auto"/>
            <w:left w:val="none" w:sz="0" w:space="0" w:color="auto"/>
            <w:bottom w:val="none" w:sz="0" w:space="0" w:color="auto"/>
            <w:right w:val="none" w:sz="0" w:space="0" w:color="auto"/>
          </w:divBdr>
        </w:div>
        <w:div w:id="1454135027">
          <w:marLeft w:val="0"/>
          <w:marRight w:val="465"/>
          <w:marTop w:val="72"/>
          <w:marBottom w:val="150"/>
          <w:divBdr>
            <w:top w:val="none" w:sz="0" w:space="0" w:color="auto"/>
            <w:left w:val="none" w:sz="0" w:space="0" w:color="auto"/>
            <w:bottom w:val="none" w:sz="0" w:space="0" w:color="auto"/>
            <w:right w:val="none" w:sz="0" w:space="0" w:color="auto"/>
          </w:divBdr>
        </w:div>
        <w:div w:id="901675965">
          <w:marLeft w:val="0"/>
          <w:marRight w:val="0"/>
          <w:marTop w:val="120"/>
          <w:marBottom w:val="0"/>
          <w:divBdr>
            <w:top w:val="none" w:sz="0" w:space="0" w:color="auto"/>
            <w:left w:val="none" w:sz="0" w:space="0" w:color="auto"/>
            <w:bottom w:val="none" w:sz="0" w:space="0" w:color="auto"/>
            <w:right w:val="none" w:sz="0" w:space="0" w:color="auto"/>
          </w:divBdr>
        </w:div>
      </w:divsChild>
    </w:div>
    <w:div w:id="1466006066">
      <w:bodyDiv w:val="1"/>
      <w:marLeft w:val="0"/>
      <w:marRight w:val="0"/>
      <w:marTop w:val="0"/>
      <w:marBottom w:val="0"/>
      <w:divBdr>
        <w:top w:val="none" w:sz="0" w:space="0" w:color="auto"/>
        <w:left w:val="none" w:sz="0" w:space="0" w:color="auto"/>
        <w:bottom w:val="none" w:sz="0" w:space="0" w:color="auto"/>
        <w:right w:val="none" w:sz="0" w:space="0" w:color="auto"/>
      </w:divBdr>
      <w:divsChild>
        <w:div w:id="2143425950">
          <w:marLeft w:val="0"/>
          <w:marRight w:val="0"/>
          <w:marTop w:val="0"/>
          <w:marBottom w:val="72"/>
          <w:divBdr>
            <w:top w:val="none" w:sz="0" w:space="0" w:color="auto"/>
            <w:left w:val="none" w:sz="0" w:space="0" w:color="auto"/>
            <w:bottom w:val="none" w:sz="0" w:space="0" w:color="auto"/>
            <w:right w:val="none" w:sz="0" w:space="0" w:color="auto"/>
          </w:divBdr>
        </w:div>
        <w:div w:id="1459834884">
          <w:marLeft w:val="0"/>
          <w:marRight w:val="0"/>
          <w:marTop w:val="0"/>
          <w:marBottom w:val="300"/>
          <w:divBdr>
            <w:top w:val="none" w:sz="0" w:space="0" w:color="auto"/>
            <w:left w:val="none" w:sz="0" w:space="0" w:color="auto"/>
            <w:bottom w:val="none" w:sz="0" w:space="0" w:color="auto"/>
            <w:right w:val="none" w:sz="0" w:space="0" w:color="auto"/>
          </w:divBdr>
        </w:div>
        <w:div w:id="1349871394">
          <w:marLeft w:val="0"/>
          <w:marRight w:val="0"/>
          <w:marTop w:val="0"/>
          <w:marBottom w:val="300"/>
          <w:divBdr>
            <w:top w:val="none" w:sz="0" w:space="0" w:color="auto"/>
            <w:left w:val="none" w:sz="0" w:space="0" w:color="auto"/>
            <w:bottom w:val="none" w:sz="0" w:space="0" w:color="auto"/>
            <w:right w:val="none" w:sz="0" w:space="0" w:color="auto"/>
          </w:divBdr>
        </w:div>
        <w:div w:id="668757682">
          <w:marLeft w:val="0"/>
          <w:marRight w:val="465"/>
          <w:marTop w:val="72"/>
          <w:marBottom w:val="150"/>
          <w:divBdr>
            <w:top w:val="none" w:sz="0" w:space="0" w:color="auto"/>
            <w:left w:val="none" w:sz="0" w:space="0" w:color="auto"/>
            <w:bottom w:val="none" w:sz="0" w:space="0" w:color="auto"/>
            <w:right w:val="none" w:sz="0" w:space="0" w:color="auto"/>
          </w:divBdr>
        </w:div>
        <w:div w:id="443959924">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dangeredspecieslawandpolicy.com/category/fish-wildlife-servic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ndangeredspecieslawandpolicy.com/category/construction-project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ndangeredspecieslawandpolicy.com/author/bwahlberg" TargetMode="External"/><Relationship Id="rId11" Type="http://schemas.openxmlformats.org/officeDocument/2006/relationships/image" Target="media/image1.jpeg"/><Relationship Id="rId5" Type="http://schemas.openxmlformats.org/officeDocument/2006/relationships/hyperlink" Target="https://www.endangeredspecieslawandpolicy.com/author/rbarho" TargetMode="External"/><Relationship Id="rId10" Type="http://schemas.openxmlformats.org/officeDocument/2006/relationships/hyperlink" Target="https://www.endangeredspecieslawandpolicy.com/category/nepa" TargetMode="External"/><Relationship Id="rId4" Type="http://schemas.openxmlformats.org/officeDocument/2006/relationships/webSettings" Target="webSettings.xml"/><Relationship Id="rId9" Type="http://schemas.openxmlformats.org/officeDocument/2006/relationships/hyperlink" Target="https://www.endangeredspecieslawandpolicy.com/category/leg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891</Words>
  <Characters>5079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VanNess, Meg</dc:creator>
  <cp:keywords/>
  <dc:description/>
  <cp:lastModifiedBy>VanNess, Meg</cp:lastModifiedBy>
  <cp:revision>2</cp:revision>
  <dcterms:created xsi:type="dcterms:W3CDTF">2020-07-23T21:37:00Z</dcterms:created>
  <dcterms:modified xsi:type="dcterms:W3CDTF">2020-07-23T21:48:00Z</dcterms:modified>
</cp:coreProperties>
</file>